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7912AC3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F34682">
        <w:rPr>
          <w:b/>
          <w:noProof/>
          <w:sz w:val="24"/>
        </w:rPr>
        <w:t>120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1EBD3585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001FF8" w:rsidRPr="00F34682">
        <w:rPr>
          <w:b w:val="0"/>
        </w:rPr>
        <w:t>background data transfer policy re-negotiation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0C0521FC" w:rsidR="001C2BD8" w:rsidRDefault="00741912">
      <w:pPr>
        <w:pStyle w:val="ac"/>
      </w:pPr>
      <w:r>
        <w:t>Work Item:</w:t>
      </w:r>
      <w:r>
        <w:tab/>
      </w:r>
      <w:r w:rsidR="00001FF8" w:rsidRPr="00F34682">
        <w:rPr>
          <w:b w:val="0"/>
        </w:rPr>
        <w:t>eNA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c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10CD7C78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almost completed the work on </w:t>
      </w:r>
      <w:r w:rsidR="00E56C42" w:rsidRPr="00E56C42">
        <w:rPr>
          <w:rFonts w:ascii="Arial" w:hAnsi="Arial" w:cs="Arial"/>
          <w:bCs/>
          <w:kern w:val="28"/>
        </w:rPr>
        <w:t>BDT warning notification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5570D443" w14:textId="3CC95589" w:rsidR="00E56C42" w:rsidRDefault="00E56C42">
      <w:pPr>
        <w:rPr>
          <w:rFonts w:ascii="Arial" w:hAnsi="Arial" w:cs="Arial"/>
          <w:bCs/>
          <w:i/>
          <w:kern w:val="28"/>
        </w:rPr>
      </w:pPr>
      <w:r>
        <w:rPr>
          <w:rFonts w:ascii="Arial" w:hAnsi="Arial" w:cs="Arial"/>
          <w:bCs/>
          <w:kern w:val="28"/>
        </w:rPr>
        <w:t>In subclause 6.1.2.4 of TS 23.503, it is specified</w:t>
      </w:r>
      <w:r w:rsidR="00FC14B9">
        <w:rPr>
          <w:rFonts w:ascii="Arial" w:hAnsi="Arial" w:cs="Arial"/>
          <w:bCs/>
          <w:kern w:val="28"/>
        </w:rPr>
        <w:t>: T</w:t>
      </w:r>
      <w:r w:rsidRPr="00E56C42">
        <w:rPr>
          <w:rFonts w:ascii="Arial" w:hAnsi="Arial" w:cs="Arial"/>
          <w:bCs/>
          <w:i/>
          <w:kern w:val="28"/>
        </w:rPr>
        <w:t>he BDT warning notification indicates to the ASP that the BDT policy needs to be re-negotiated.</w:t>
      </w:r>
    </w:p>
    <w:p w14:paraId="7E06A4B7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1FFDEB3D" w14:textId="36982ED7" w:rsidR="00E56C42" w:rsidRDefault="00E56C42">
      <w:pPr>
        <w:rPr>
          <w:rFonts w:ascii="Arial" w:hAnsi="Arial" w:cs="Arial"/>
          <w:bCs/>
          <w:i/>
          <w:kern w:val="28"/>
        </w:rPr>
      </w:pPr>
      <w:r w:rsidRPr="00E56C42">
        <w:rPr>
          <w:rFonts w:ascii="Arial" w:hAnsi="Arial" w:cs="Arial"/>
          <w:bCs/>
          <w:kern w:val="28"/>
        </w:rPr>
        <w:t>It is also mentioned in NOTE 8 in same subclause</w:t>
      </w:r>
      <w:r w:rsidR="00FC14B9">
        <w:rPr>
          <w:rFonts w:ascii="Arial" w:hAnsi="Arial" w:cs="Arial"/>
          <w:bCs/>
          <w:kern w:val="28"/>
        </w:rPr>
        <w:t>:</w:t>
      </w:r>
      <w:r w:rsidRPr="00E56C42">
        <w:rPr>
          <w:rFonts w:ascii="Arial" w:hAnsi="Arial" w:cs="Arial"/>
          <w:bCs/>
          <w:kern w:val="28"/>
        </w:rPr>
        <w:t xml:space="preserve"> </w:t>
      </w:r>
      <w:r w:rsidR="00FC14B9">
        <w:rPr>
          <w:rFonts w:ascii="Arial" w:hAnsi="Arial" w:cs="Arial"/>
          <w:bCs/>
          <w:kern w:val="28"/>
        </w:rPr>
        <w:t>A</w:t>
      </w:r>
      <w:r w:rsidRPr="00E56C42">
        <w:rPr>
          <w:rFonts w:ascii="Arial" w:hAnsi="Arial" w:cs="Arial"/>
          <w:bCs/>
          <w:i/>
          <w:kern w:val="28"/>
        </w:rPr>
        <w:t>fter the AF receives the notification, the AF may renegotiate the background data transfer policy with the PCF. This is beneficial to improve the quality of background data traffic.</w:t>
      </w:r>
    </w:p>
    <w:p w14:paraId="5FE9F66A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2D9F3D1D" w14:textId="4D77884C" w:rsidR="00E56C42" w:rsidRDefault="00E56C42">
      <w:pPr>
        <w:rPr>
          <w:rFonts w:ascii="Arial" w:hAnsi="Arial" w:cs="Arial"/>
          <w:bCs/>
          <w:kern w:val="28"/>
        </w:rPr>
      </w:pPr>
      <w:r w:rsidRPr="00E56C42">
        <w:rPr>
          <w:rFonts w:ascii="Arial" w:hAnsi="Arial" w:cs="Arial"/>
          <w:bCs/>
          <w:kern w:val="28"/>
        </w:rPr>
        <w:t>But the Nnef_BDTPNegotiation_Update service operation defined in TS 23.502 only support</w:t>
      </w:r>
      <w:r w:rsidR="00B85E56">
        <w:rPr>
          <w:rFonts w:ascii="Arial" w:hAnsi="Arial" w:cs="Arial"/>
          <w:bCs/>
          <w:kern w:val="28"/>
        </w:rPr>
        <w:t>s</w:t>
      </w:r>
      <w:r w:rsidRPr="00E56C42">
        <w:rPr>
          <w:rFonts w:ascii="Arial" w:hAnsi="Arial" w:cs="Arial"/>
          <w:bCs/>
          <w:kern w:val="28"/>
        </w:rPr>
        <w:t xml:space="preserve"> to indicate the reset for notification</w:t>
      </w:r>
    </w:p>
    <w:p w14:paraId="47EBC7FF" w14:textId="77777777" w:rsidR="00CA6357" w:rsidRDefault="00CA6357">
      <w:pPr>
        <w:rPr>
          <w:rFonts w:ascii="Arial" w:hAnsi="Arial" w:cs="Arial"/>
          <w:bCs/>
          <w:kern w:val="28"/>
        </w:rPr>
      </w:pPr>
    </w:p>
    <w:p w14:paraId="15359C10" w14:textId="3A900F6C" w:rsidR="00CA6357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Does the re-negotiation of BDT policy need to be specified?</w:t>
      </w:r>
    </w:p>
    <w:p w14:paraId="44B0CEBB" w14:textId="77777777" w:rsidR="00CA6357" w:rsidRDefault="00CA6357" w:rsidP="00CA635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7DB4B4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how</w:t>
      </w:r>
      <w:r w:rsidR="00B85E56">
        <w:rPr>
          <w:rFonts w:ascii="Arial" w:hAnsi="Arial" w:cs="Arial"/>
          <w:lang w:eastAsia="zh-CN"/>
        </w:rPr>
        <w:t xml:space="preserve"> does</w:t>
      </w:r>
      <w:r>
        <w:rPr>
          <w:rFonts w:ascii="Arial" w:hAnsi="Arial" w:cs="Arial"/>
          <w:lang w:eastAsia="zh-CN"/>
        </w:rPr>
        <w:t xml:space="preserve"> the AF re-negotiate the BDT policy?</w:t>
      </w:r>
    </w:p>
    <w:p w14:paraId="6D7EEE7F" w14:textId="77777777" w:rsidR="001C2BD8" w:rsidRPr="00CA6357" w:rsidRDefault="001C2BD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E9EA0" w14:textId="77777777" w:rsidR="0072506C" w:rsidRDefault="0072506C">
      <w:r>
        <w:separator/>
      </w:r>
    </w:p>
  </w:endnote>
  <w:endnote w:type="continuationSeparator" w:id="0">
    <w:p w14:paraId="472B0296" w14:textId="77777777" w:rsidR="0072506C" w:rsidRDefault="0072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5642D" w14:textId="77777777" w:rsidR="0072506C" w:rsidRDefault="0072506C">
      <w:r>
        <w:separator/>
      </w:r>
    </w:p>
  </w:footnote>
  <w:footnote w:type="continuationSeparator" w:id="0">
    <w:p w14:paraId="4D1DB4F8" w14:textId="77777777" w:rsidR="0072506C" w:rsidRDefault="00725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1C2BD8"/>
    <w:rsid w:val="002271A3"/>
    <w:rsid w:val="005A2CEA"/>
    <w:rsid w:val="0072506C"/>
    <w:rsid w:val="00741912"/>
    <w:rsid w:val="00B85E56"/>
    <w:rsid w:val="00CA6357"/>
    <w:rsid w:val="00E56C42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8</cp:revision>
  <cp:lastPrinted>2002-04-23T07:10:00Z</cp:lastPrinted>
  <dcterms:created xsi:type="dcterms:W3CDTF">2019-09-30T06:52:00Z</dcterms:created>
  <dcterms:modified xsi:type="dcterms:W3CDTF">2019-09-30T10:06:00Z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